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8E12B8">
        <w:rPr>
          <w:rFonts w:ascii="標楷體" w:eastAsia="標楷體" w:hAnsi="標楷體" w:hint="eastAsia"/>
          <w:color w:val="000000"/>
          <w:sz w:val="28"/>
        </w:rPr>
        <w:t>4</w:t>
      </w:r>
      <w:r>
        <w:rPr>
          <w:rFonts w:ascii="標楷體" w:eastAsia="標楷體" w:hAnsi="標楷體" w:hint="eastAsia"/>
          <w:color w:val="000000"/>
          <w:sz w:val="28"/>
        </w:rPr>
        <w:t>學年度第一學期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E41E86"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E41E86" w:rsidRPr="008A3824" w:rsidTr="00E16197">
        <w:trPr>
          <w:trHeight w:val="530"/>
          <w:jc w:val="center"/>
        </w:trPr>
        <w:tc>
          <w:tcPr>
            <w:tcW w:w="1776" w:type="dxa"/>
            <w:gridSpan w:val="2"/>
            <w:shd w:val="clear" w:color="auto" w:fill="D9D9D9" w:themeFill="background1" w:themeFillShade="D9"/>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E41E86" w:rsidRPr="008A3824" w:rsidRDefault="00E41E86" w:rsidP="00E16197">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E41E8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E41E86" w:rsidRPr="009219D6" w:rsidRDefault="00E41E86" w:rsidP="00E16197">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E41E86" w:rsidRPr="009219D6" w:rsidRDefault="00E41E86" w:rsidP="00E16197">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(63)</w:t>
            </w:r>
            <w:r>
              <w:rPr>
                <w:rFonts w:ascii="Times New Roman" w:eastAsia="標楷體" w:hAnsi="Times New Roman" w:cs="Times New Roman"/>
                <w:szCs w:val="28"/>
              </w:rPr>
              <w:t>節</w:t>
            </w:r>
          </w:p>
        </w:tc>
      </w:tr>
      <w:tr w:rsidR="00E41E86" w:rsidRPr="008A3824" w:rsidTr="00E16197">
        <w:trPr>
          <w:trHeight w:val="678"/>
          <w:jc w:val="center"/>
        </w:trPr>
        <w:tc>
          <w:tcPr>
            <w:tcW w:w="1776" w:type="dxa"/>
            <w:gridSpan w:val="2"/>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1.</w:t>
            </w:r>
            <w:r w:rsidRPr="004E49D7">
              <w:rPr>
                <w:rFonts w:ascii="Times New Roman" w:eastAsia="標楷體" w:hAnsi="Times New Roman" w:cs="Times New Roman"/>
              </w:rPr>
              <w:t>認識動物的身體構造、行為與覓食及適應環境的關係，再觀察動物的自我保護方法及社會行為，了解動物的繁殖行為及方式，最後覺察動物間的性狀具有差異，子代與親代的性狀具有相似性和相異性。</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2.</w:t>
            </w:r>
            <w:r w:rsidRPr="004E49D7">
              <w:rPr>
                <w:rFonts w:ascii="Times New Roman" w:eastAsia="標楷體" w:hAnsi="Times New Roman" w:cs="Times New Roman"/>
              </w:rPr>
              <w:t>認識生活環境的噪音與樂音，知道減少噪音的方法，再藉由觀察各種樂器的發聲原理，覺察聲音三要素，進一步製作簡易樂器，最後觀察光會有折射現象，了解放大鏡可以聚光和成像，覺察陽光是由不同色光所組成。</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3.</w:t>
            </w:r>
            <w:r w:rsidRPr="004E49D7">
              <w:rPr>
                <w:rFonts w:ascii="Times New Roman" w:eastAsia="標楷體" w:hAnsi="Times New Roman" w:cs="Times New Roman"/>
              </w:rPr>
              <w:t>藉由觀察燃燒的現象，了解燃燒需要氧氣，透過查找資料，知道空氣的成分和特性，並了解燃燒三要素，認識預防火災及滅火的方法，最後認識造成鐵生鏽的因素，了解鐵生鏽需要水和氧氣。</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4.</w:t>
            </w:r>
            <w:r w:rsidRPr="004E49D7">
              <w:rPr>
                <w:rFonts w:ascii="Times New Roman" w:eastAsia="標楷體" w:hAnsi="Times New Roman" w:cs="Times New Roman"/>
              </w:rPr>
              <w:t>藉由觀察太陽察覺不同季節太陽位置的變化，再了解太陽是恆星，且太陽系是由太陽和八大行星所組成，最後知道星星的位置會隨著時間、季節有規律的變化，進一步了解北極星幾乎固定不動，利用北斗七星和仙后座可以尋找北極星。</w:t>
            </w:r>
          </w:p>
        </w:tc>
      </w:tr>
      <w:tr w:rsidR="00E41E86" w:rsidRPr="008A3824" w:rsidTr="00E16197">
        <w:trPr>
          <w:trHeight w:val="845"/>
          <w:jc w:val="center"/>
        </w:trPr>
        <w:tc>
          <w:tcPr>
            <w:tcW w:w="1776" w:type="dxa"/>
            <w:gridSpan w:val="2"/>
            <w:shd w:val="clear" w:color="auto" w:fill="D9D9D9" w:themeFill="background1" w:themeFillShade="D9"/>
            <w:vAlign w:val="center"/>
          </w:tcPr>
          <w:p w:rsidR="00E41E86" w:rsidRDefault="00E41E86" w:rsidP="00E16197">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E41E86" w:rsidRPr="009219D6" w:rsidRDefault="00E41E86" w:rsidP="00E16197">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具備透過實地操作探究活動探索科學問題的能力，並能初步根據問題特性、資源的有無等因素，規畫簡單步驟，操作適合學習階段的器材儀器、科技設備及資源，進行自然科學實驗。</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-E-C3 </w:t>
            </w:r>
            <w:r>
              <w:rPr>
                <w:rFonts w:ascii="Times New Roman" w:eastAsia="標楷體" w:hAnsi="Times New Roman" w:cs="Times New Roman"/>
                <w:noProof/>
                <w:szCs w:val="24"/>
              </w:rPr>
              <w:t>透過環境相關議題的學習，能了解全球自然環境的現況與特性及其背後之文化差異。</w:t>
            </w:r>
          </w:p>
        </w:tc>
      </w:tr>
      <w:tr w:rsidR="00E41E86" w:rsidRPr="008A3824" w:rsidTr="00E16197">
        <w:trPr>
          <w:trHeight w:val="400"/>
          <w:jc w:val="center"/>
        </w:trPr>
        <w:tc>
          <w:tcPr>
            <w:tcW w:w="15362" w:type="dxa"/>
            <w:gridSpan w:val="11"/>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E41E86" w:rsidRPr="008A3824" w:rsidTr="00E16197">
        <w:trPr>
          <w:trHeight w:val="270"/>
          <w:jc w:val="center"/>
        </w:trPr>
        <w:tc>
          <w:tcPr>
            <w:tcW w:w="1209" w:type="dxa"/>
            <w:vMerge w:val="restart"/>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E41E86" w:rsidRPr="00CD66C3" w:rsidRDefault="00E41E86" w:rsidP="00E16197">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E41E86" w:rsidRDefault="00E41E86" w:rsidP="00E16197">
            <w:pPr>
              <w:jc w:val="center"/>
              <w:rPr>
                <w:rFonts w:ascii="標楷體" w:eastAsia="標楷體" w:hAnsi="標楷體"/>
              </w:rPr>
            </w:pPr>
            <w:r>
              <w:rPr>
                <w:rFonts w:ascii="Times New Roman" w:eastAsia="標楷體" w:hAnsi="Times New Roman" w:cs="Times New Roman"/>
              </w:rPr>
              <w:t>表現任務</w:t>
            </w:r>
          </w:p>
          <w:p w:rsidR="00E41E86" w:rsidRDefault="00E41E86" w:rsidP="00E16197">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融入議題</w:t>
            </w:r>
          </w:p>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rPr>
              <w:t>實質內涵</w:t>
            </w:r>
          </w:p>
        </w:tc>
      </w:tr>
      <w:tr w:rsidR="00E41E86" w:rsidRPr="008A3824" w:rsidTr="00E16197">
        <w:trPr>
          <w:trHeight w:val="450"/>
          <w:jc w:val="center"/>
        </w:trPr>
        <w:tc>
          <w:tcPr>
            <w:tcW w:w="1209" w:type="dxa"/>
            <w:vMerge/>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709" w:type="dxa"/>
            <w:vMerge/>
            <w:vAlign w:val="center"/>
          </w:tcPr>
          <w:p w:rsidR="00E41E86" w:rsidRPr="008A3824" w:rsidRDefault="00E41E86" w:rsidP="00E16197">
            <w:pPr>
              <w:jc w:val="center"/>
              <w:rPr>
                <w:rFonts w:ascii="標楷體" w:eastAsia="標楷體" w:hAnsi="標楷體"/>
              </w:rPr>
            </w:pPr>
          </w:p>
        </w:tc>
        <w:tc>
          <w:tcPr>
            <w:tcW w:w="2693" w:type="dxa"/>
            <w:gridSpan w:val="2"/>
            <w:vMerge/>
            <w:vAlign w:val="center"/>
          </w:tcPr>
          <w:p w:rsidR="00E41E86" w:rsidRPr="008A3824" w:rsidRDefault="00E41E86" w:rsidP="00E16197">
            <w:pPr>
              <w:jc w:val="center"/>
              <w:rPr>
                <w:rFonts w:ascii="標楷體" w:eastAsia="標楷體" w:hAnsi="標楷體"/>
              </w:rPr>
            </w:pPr>
          </w:p>
        </w:tc>
        <w:tc>
          <w:tcPr>
            <w:tcW w:w="1984" w:type="dxa"/>
            <w:gridSpan w:val="2"/>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E41E86" w:rsidRDefault="00E41E86" w:rsidP="00E16197">
            <w:pPr>
              <w:jc w:val="center"/>
              <w:rPr>
                <w:rFonts w:ascii="標楷體" w:eastAsia="標楷體" w:hAnsi="標楷體"/>
              </w:rPr>
            </w:pPr>
          </w:p>
        </w:tc>
        <w:tc>
          <w:tcPr>
            <w:tcW w:w="1701" w:type="dxa"/>
            <w:vMerge/>
            <w:vAlign w:val="center"/>
          </w:tcPr>
          <w:p w:rsidR="00E41E86" w:rsidRDefault="00E41E86" w:rsidP="00E16197">
            <w:pPr>
              <w:jc w:val="center"/>
              <w:rPr>
                <w:rFonts w:ascii="標楷體" w:eastAsia="標楷體" w:hAnsi="標楷體"/>
              </w:rPr>
            </w:pP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8/28-9/01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察覺動物的覓食行為、身體構造與牠覓食的食物類型有密切的關</w:t>
            </w:r>
            <w:r w:rsidRPr="004E49D7">
              <w:rPr>
                <w:rFonts w:ascii="Times New Roman" w:eastAsia="標楷體" w:hAnsi="Times New Roman" w:cs="Times New Roman"/>
                <w:noProof/>
                <w:szCs w:val="24"/>
              </w:rPr>
              <w:lastRenderedPageBreak/>
              <w:t>係。</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了解動物遷移行為對生存的幫助。</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w:t>
            </w:r>
            <w:r w:rsidRPr="004E49D7">
              <w:rPr>
                <w:rFonts w:ascii="Times New Roman" w:eastAsia="標楷體" w:hAnsi="Times New Roman" w:cs="Times New Roman"/>
                <w:szCs w:val="24"/>
              </w:rPr>
              <w:lastRenderedPageBreak/>
              <w:t>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lastRenderedPageBreak/>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w:t>
            </w:r>
            <w:r w:rsidRPr="004E49D7">
              <w:rPr>
                <w:rFonts w:ascii="Times New Roman" w:eastAsia="標楷體" w:hAnsi="Times New Roman" w:cs="Times New Roman"/>
                <w:szCs w:val="24"/>
              </w:rPr>
              <w:lastRenderedPageBreak/>
              <w:t>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lastRenderedPageBreak/>
              <w:t>第二週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9/04-9/08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了解動物遷移行為對生存的幫助。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知道動物保護自己、禦敵或避敵的方法。</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9/11-9/15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活動二動物具有社會行為嗎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認識不同的動物具有不同傳遞訊息的方法。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知道動物具有分工合作的社會行為，可以增進生存能力。</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9/18-9/22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認識動物的繁殖行為。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了解動物靠繁殖延續下一代，繁殖方式有卵生、胎生等。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藉由進行「觀察動物行為」探究活動，了解不同的動物行為。</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9/25-9/29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活動一樂音與噪音有什麼不同有什麼不同</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藉由進行「觀察動物行為」探究活動，了解不同的動物行為。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了解防治噪音的方式。</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10/02-10/06</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活動一樂音與噪音有什麼不同</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了解防治噪音的方式。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認識樂器的構造與發出聲音的方式。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認識常見的樂器，察覺不同樂器有不同的音色。</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了解樂器振動的部位以及影響音量大小、音調高低的因素。</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10/09-10/13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設計實驗，了解音箱有擴大聲音的功用。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10/16-10/20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利用聲音的原理，設計製作簡易樂器。</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認識生活中光的折射現象。</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10/23-10/27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認識生活中光的折射現象。</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了解放大鏡能匯聚光線的特性。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了解放大鏡的成像與生活應用。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10/30-11/03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察覺陽光是由不同色光組成。</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11/06-11/10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沒有空氣就不能燃燒。</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空氣中的組成物質。</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11/13-11/17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如何製造氧氣。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確認空氣中的氧氣是幫助燃燒的關鍵成分。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11/20-11/24</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知道燃燒三要素為：可燃物、助燃物、溫度達到燃點。</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知道預防火災與滅火的做法與原理。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11/27-12/01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活動三為何會生鏽與如何防鏽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知道預防火災與滅火的做法與原理。</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確認鐵生鏽會消耗氧氣。</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12/04-12/08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活動三為何會生鏽與如何防鏽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確認鐵生鏽會消耗氧氣。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學習各種防鏽的方法。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6.</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7.</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12/11-12/15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12/18-12/22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活動二太陽系有哪些成員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太陽是自己會發出光和熱的恆星。</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和其他恆星相比，太陽相對離地球較近，所以我們可以明顯感受到太陽的光和熱。</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tc>
        <w:tc>
          <w:tcPr>
            <w:tcW w:w="1843" w:type="dxa"/>
          </w:tcPr>
          <w:p w:rsidR="00E41E86" w:rsidRDefault="00E41E86" w:rsidP="000730DF">
            <w:pPr>
              <w:spacing w:line="0" w:lineRule="atLeast"/>
              <w:jc w:val="both"/>
              <w:rPr>
                <w:rFonts w:ascii="標楷體" w:eastAsia="標楷體" w:hAnsi="標楷體"/>
                <w:szCs w:val="24"/>
              </w:rPr>
            </w:pPr>
            <w:r>
              <w:rPr>
                <w:rFonts w:ascii="Times New Roman" w:eastAsia="標楷體" w:hAnsi="Times New Roman" w:cs="Times New Roman"/>
                <w:szCs w:val="24"/>
              </w:rPr>
              <w:t>INc-</w:t>
            </w:r>
            <w:r>
              <w:rPr>
                <w:rFonts w:ascii="新細明體" w:eastAsia="新細明體" w:hAnsi="新細明體" w:cs="新細明體" w:hint="eastAsia"/>
                <w:szCs w:val="24"/>
              </w:rPr>
              <w:t>Ⅲ</w:t>
            </w:r>
            <w:r>
              <w:rPr>
                <w:rFonts w:ascii="Times New Roman" w:eastAsia="標楷體" w:hAnsi="Times New Roman" w:cs="Times New Roman"/>
                <w:szCs w:val="24"/>
              </w:rPr>
              <w:t xml:space="preserve">-13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12/25-12/29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活動二太陽系有哪些成員</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太陽系以太陽為中心，八大行星依序繞著太陽運轉。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1/01-1/05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星星彼此之間的距離非常遙遠，我們用光年來描述它們之間的距離。</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星星在天空中的位置會隨著時間、季節有規律的變化。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1/08-1/12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北極星的位置在北方幾乎固定不動，可以為人們指引方向。</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春、夏兩季夜晚，可以利用北斗七星尋找北極星。秋、冬兩季夜晚，可以利用仙后座尋找北極星。</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1/15-1/19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知道太陽系理論的變化以及近代八大行星的決議。</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bl>
    <w:p w:rsidR="00E41E86" w:rsidRPr="00BC450E" w:rsidRDefault="00E41E86" w:rsidP="00E41E86">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E41E86" w:rsidRDefault="00E41E86" w:rsidP="00E41E86">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E41E86" w:rsidRPr="00902C30" w:rsidRDefault="00E41E86" w:rsidP="00E41E86">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E41E86" w:rsidRDefault="00E41E86" w:rsidP="00E41E86">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E41E86" w:rsidRDefault="00E41E86" w:rsidP="00E41E86">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E41E86" w:rsidRDefault="00E41E86" w:rsidP="00E41E86"/>
    <w:p w:rsidR="00E41E86" w:rsidRDefault="00E41E86" w:rsidP="00E41E86">
      <w:r>
        <w:br w:type="page"/>
      </w:r>
    </w:p>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8E12B8">
        <w:rPr>
          <w:rFonts w:ascii="標楷體" w:eastAsia="標楷體" w:hAnsi="標楷體" w:hint="eastAsia"/>
          <w:color w:val="000000"/>
          <w:sz w:val="28"/>
        </w:rPr>
        <w:t>4</w:t>
      </w:r>
      <w:bookmarkStart w:id="0" w:name="_GoBack"/>
      <w:bookmarkEnd w:id="0"/>
      <w:r>
        <w:rPr>
          <w:rFonts w:ascii="標楷體" w:eastAsia="標楷體" w:hAnsi="標楷體" w:hint="eastAsia"/>
          <w:color w:val="000000"/>
          <w:sz w:val="28"/>
        </w:rPr>
        <w:t>學年度第二學期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880C6B"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BE3A12"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BE3A12"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BE3A12"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(60)</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DE1648" w:rsidRDefault="00BE3A12" w:rsidP="00DA4361">
            <w:pPr>
              <w:jc w:val="both"/>
              <w:rPr>
                <w:rFonts w:ascii="標楷體" w:eastAsia="標楷體" w:hAnsi="標楷體"/>
              </w:rPr>
            </w:pPr>
            <w:r>
              <w:rPr>
                <w:rFonts w:ascii="Times New Roman" w:eastAsia="標楷體" w:hAnsi="Times New Roman" w:cs="Times New Roman"/>
              </w:rPr>
              <w:t>1.</w:t>
            </w:r>
            <w:r w:rsidRPr="00326D80">
              <w:rPr>
                <w:rFonts w:ascii="Times New Roman" w:eastAsia="標楷體" w:hAnsi="Times New Roman" w:cs="Times New Roman"/>
              </w:rPr>
              <w:t>從生活中察覺接觸力與超距力作用的特性，並能設計圖表，分析並預測力的大小與物體形狀變化、運動快慢的關係。</w:t>
            </w:r>
          </w:p>
          <w:p w:rsidR="00893A2A" w:rsidRDefault="00BE3A12" w:rsidP="00DA4361">
            <w:pPr>
              <w:jc w:val="both"/>
              <w:rPr>
                <w:rFonts w:ascii="標楷體" w:eastAsia="標楷體" w:hAnsi="標楷體"/>
              </w:rPr>
            </w:pPr>
            <w:r>
              <w:rPr>
                <w:rFonts w:ascii="Times New Roman" w:eastAsia="標楷體" w:hAnsi="Times New Roman" w:cs="Times New Roman"/>
              </w:rPr>
              <w:t>2.</w:t>
            </w:r>
            <w:r w:rsidRPr="001F6C39">
              <w:rPr>
                <w:rFonts w:ascii="Times New Roman" w:eastAsia="標楷體" w:hAnsi="Times New Roman" w:cs="Times New Roman"/>
              </w:rPr>
              <w:t>了解地層的構成</w:t>
            </w:r>
            <w:r>
              <w:rPr>
                <w:rFonts w:ascii="Times New Roman" w:eastAsia="標楷體" w:hAnsi="Times New Roman" w:cs="Times New Roman"/>
              </w:rPr>
              <w:t>、</w:t>
            </w:r>
            <w:r w:rsidRPr="001F6C39">
              <w:rPr>
                <w:rFonts w:ascii="Times New Roman" w:eastAsia="標楷體" w:hAnsi="Times New Roman" w:cs="Times New Roman"/>
              </w:rPr>
              <w:t>礦物的不同特徵與應用，認識常見的地層變動現象與背後可能的自然作用，知道地表環境變動可能造成災害，懂得做好防災準備。</w:t>
            </w:r>
          </w:p>
          <w:p w:rsidR="00893A2A" w:rsidRDefault="00BE3A12" w:rsidP="00DA4361">
            <w:pPr>
              <w:jc w:val="both"/>
              <w:rPr>
                <w:rFonts w:ascii="標楷體" w:eastAsia="標楷體" w:hAnsi="標楷體"/>
              </w:rPr>
            </w:pPr>
            <w:r>
              <w:rPr>
                <w:rFonts w:ascii="Times New Roman" w:eastAsia="標楷體" w:hAnsi="Times New Roman" w:cs="Times New Roman"/>
              </w:rPr>
              <w:t>3.</w:t>
            </w:r>
            <w:r w:rsidRPr="004B464F">
              <w:rPr>
                <w:rFonts w:ascii="Times New Roman" w:eastAsia="標楷體" w:hAnsi="Times New Roman" w:cs="Times New Roman"/>
              </w:rPr>
              <w:t>認識植物身體各部位的構造、功能及適應環境的方式，察覺植物有趣的特性以及對人類生活的影響。</w:t>
            </w:r>
          </w:p>
          <w:p w:rsidR="00893A2A" w:rsidRPr="00DE1648" w:rsidRDefault="00BE3A12" w:rsidP="00DA4361">
            <w:pPr>
              <w:jc w:val="both"/>
              <w:rPr>
                <w:rFonts w:ascii="標楷體" w:eastAsia="標楷體" w:hAnsi="標楷體"/>
              </w:rPr>
            </w:pPr>
            <w:r>
              <w:rPr>
                <w:rFonts w:ascii="Times New Roman" w:eastAsia="標楷體" w:hAnsi="Times New Roman" w:cs="Times New Roman"/>
              </w:rPr>
              <w:t>4.</w:t>
            </w:r>
            <w:r w:rsidRPr="0081485D">
              <w:rPr>
                <w:rFonts w:ascii="Times New Roman" w:eastAsia="標楷體" w:hAnsi="Times New Roman" w:cs="Times New Roman"/>
              </w:rPr>
              <w:t>知道物質受熱後體積可能會改變，並認識熱的傳播方式、日常生活中有些物品或方法可以達到保溫或散熱的效果。</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BE3A12"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BE3A12"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具備透過實地操作探究活動探索科學問題的能力，並能初步根據問題特性、資源的有無等因素，規劃簡單步驟，操作適合學習階段的器材儀器、科技設備及資源，進行自然科學實驗。</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培養愛護自然、珍愛生命、惜取資源的關懷心與行動力。</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BE3A12"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BE3A12"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BE3A12" w:rsidP="00281EF1">
            <w:pPr>
              <w:jc w:val="center"/>
              <w:rPr>
                <w:rFonts w:ascii="標楷體" w:eastAsia="標楷體" w:hAnsi="標楷體"/>
              </w:rPr>
            </w:pPr>
            <w:r>
              <w:rPr>
                <w:rFonts w:ascii="Times New Roman" w:eastAsia="標楷體" w:hAnsi="Times New Roman" w:cs="Times New Roman"/>
              </w:rPr>
              <w:t>表現任務</w:t>
            </w:r>
          </w:p>
          <w:p w:rsidR="00880C6B" w:rsidRDefault="00BE3A12"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20082D"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20082D" w:rsidP="00281EF1">
            <w:pPr>
              <w:jc w:val="center"/>
              <w:rPr>
                <w:rFonts w:ascii="標楷體" w:eastAsia="標楷體" w:hAnsi="標楷體"/>
              </w:rPr>
            </w:pPr>
          </w:p>
        </w:tc>
        <w:tc>
          <w:tcPr>
            <w:tcW w:w="709" w:type="dxa"/>
            <w:vMerge/>
            <w:vAlign w:val="center"/>
          </w:tcPr>
          <w:p w:rsidR="00880C6B" w:rsidRPr="008A3824" w:rsidRDefault="0020082D" w:rsidP="00281EF1">
            <w:pPr>
              <w:jc w:val="center"/>
              <w:rPr>
                <w:rFonts w:ascii="標楷體" w:eastAsia="標楷體" w:hAnsi="標楷體"/>
              </w:rPr>
            </w:pPr>
          </w:p>
        </w:tc>
        <w:tc>
          <w:tcPr>
            <w:tcW w:w="2693" w:type="dxa"/>
            <w:gridSpan w:val="2"/>
            <w:vMerge/>
            <w:vAlign w:val="center"/>
          </w:tcPr>
          <w:p w:rsidR="00880C6B" w:rsidRPr="008A3824" w:rsidRDefault="0020082D"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20082D" w:rsidP="00281EF1">
            <w:pPr>
              <w:jc w:val="center"/>
              <w:rPr>
                <w:rFonts w:ascii="標楷體" w:eastAsia="標楷體" w:hAnsi="標楷體"/>
              </w:rPr>
            </w:pPr>
          </w:p>
        </w:tc>
        <w:tc>
          <w:tcPr>
            <w:tcW w:w="1701" w:type="dxa"/>
            <w:vMerge/>
            <w:vAlign w:val="center"/>
          </w:tcPr>
          <w:p w:rsidR="00880C6B" w:rsidRDefault="0020082D"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AB1E0F">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2/12-2/16</w:t>
            </w:r>
          </w:p>
        </w:tc>
        <w:tc>
          <w:tcPr>
            <w:tcW w:w="2977" w:type="dxa"/>
            <w:gridSpan w:val="2"/>
            <w:tcBorders>
              <w:left w:val="single" w:sz="4" w:space="0" w:color="auto"/>
            </w:tcBorders>
            <w:shd w:val="clear" w:color="auto" w:fill="FFFFFF" w:themeFill="background1"/>
            <w:vAlign w:val="center"/>
          </w:tcPr>
          <w:p w:rsidR="005E5A3D" w:rsidRPr="00AB1E0F" w:rsidRDefault="00BE3A12" w:rsidP="00704CA4">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704CA4">
            <w:pPr>
              <w:jc w:val="both"/>
              <w:rPr>
                <w:rFonts w:ascii="標楷體" w:eastAsia="標楷體" w:hAnsi="標楷體"/>
                <w:szCs w:val="24"/>
              </w:rPr>
            </w:pPr>
            <w:r>
              <w:rPr>
                <w:rFonts w:ascii="Times New Roman" w:eastAsia="標楷體" w:hAnsi="Times New Roman" w:cs="Times New Roman"/>
                <w:szCs w:val="24"/>
              </w:rPr>
              <w:t>活動一力有哪些種類</w:t>
            </w:r>
          </w:p>
        </w:tc>
        <w:tc>
          <w:tcPr>
            <w:tcW w:w="709" w:type="dxa"/>
            <w:vAlign w:val="center"/>
          </w:tcPr>
          <w:p w:rsidR="005E5A3D" w:rsidRPr="00AB1E0F" w:rsidRDefault="00BE3A12" w:rsidP="00AB1E0F">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2/19-2/23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活動一力有哪些種類</w:t>
            </w:r>
            <w:r>
              <w:rPr>
                <w:rFonts w:ascii="Times New Roman" w:eastAsia="標楷體" w:hAnsi="Times New Roman" w:cs="Times New Roman"/>
                <w:szCs w:val="24"/>
              </w:rPr>
              <w:t>/</w:t>
            </w: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2/26-3/01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3/04-3/08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3/11-3/15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r>
              <w:rPr>
                <w:rFonts w:ascii="Times New Roman" w:eastAsia="標楷體" w:hAnsi="Times New Roman" w:cs="Times New Roman"/>
                <w:szCs w:val="24"/>
              </w:rPr>
              <w:t>/</w:t>
            </w:r>
            <w:r>
              <w:rPr>
                <w:rFonts w:ascii="Times New Roman" w:eastAsia="標楷體" w:hAnsi="Times New Roman" w:cs="Times New Roman"/>
                <w:szCs w:val="24"/>
              </w:rPr>
              <w:t>活動三</w:t>
            </w:r>
            <w:r w:rsidRPr="006E56B2">
              <w:rPr>
                <w:rFonts w:ascii="Times New Roman" w:eastAsia="標楷體" w:hAnsi="Times New Roman" w:cs="Times New Roman"/>
                <w:szCs w:val="24"/>
              </w:rPr>
              <w:t>如何保持力的平衡及力的生活應用</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3/18-3/22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3/25-3/29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4/01-4/05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552350"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4/08-4/12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p w:rsidR="005E5A3D" w:rsidRPr="00AB1E0F" w:rsidRDefault="0020082D" w:rsidP="00552350">
            <w:pPr>
              <w:spacing w:line="0" w:lineRule="atLeast"/>
              <w:contextualSpacing/>
              <w:mirrorIndents/>
              <w:jc w:val="both"/>
              <w:rPr>
                <w:rFonts w:ascii="標楷體" w:eastAsia="標楷體" w:hAnsi="標楷體"/>
                <w:noProof/>
                <w:szCs w:val="24"/>
              </w:rPr>
            </w:pP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4/15-4/19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E56B2">
            <w:pPr>
              <w:jc w:val="both"/>
              <w:rPr>
                <w:rFonts w:ascii="標楷體" w:eastAsia="標楷體" w:hAnsi="標楷體"/>
                <w:szCs w:val="24"/>
              </w:rPr>
            </w:pPr>
            <w:r>
              <w:rPr>
                <w:rFonts w:ascii="Times New Roman" w:eastAsia="標楷體" w:hAnsi="Times New Roman" w:cs="Times New Roman"/>
                <w:szCs w:val="24"/>
              </w:rPr>
              <w:t>活動三</w:t>
            </w:r>
            <w:r w:rsidRPr="006E56B2">
              <w:rPr>
                <w:rFonts w:ascii="Times New Roman" w:eastAsia="標楷體" w:hAnsi="Times New Roman" w:cs="Times New Roman"/>
                <w:szCs w:val="24"/>
              </w:rPr>
              <w:t>地層變動</w:t>
            </w:r>
            <w:r>
              <w:rPr>
                <w:rFonts w:ascii="Times New Roman" w:eastAsia="標楷體" w:hAnsi="Times New Roman" w:cs="Times New Roman"/>
                <w:szCs w:val="24"/>
              </w:rPr>
              <w:t>有什麼影響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4/22-4/26</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4/29-5/03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r>
              <w:rPr>
                <w:rFonts w:ascii="Times New Roman" w:eastAsia="標楷體" w:hAnsi="Times New Roman" w:cs="Times New Roman"/>
                <w:szCs w:val="24"/>
              </w:rPr>
              <w:t>/</w:t>
            </w: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573159">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5/06-5/10</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5/13-5/17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r>
              <w:rPr>
                <w:rFonts w:ascii="Times New Roman" w:eastAsia="標楷體" w:hAnsi="Times New Roman" w:cs="Times New Roman"/>
                <w:szCs w:val="24"/>
              </w:rPr>
              <w:t>/</w:t>
            </w:r>
            <w:r>
              <w:rPr>
                <w:rFonts w:ascii="Times New Roman" w:eastAsia="標楷體" w:hAnsi="Times New Roman" w:cs="Times New Roman"/>
                <w:szCs w:val="24"/>
              </w:rPr>
              <w:t>活動三植物有哪些妙招</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626DF2">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5/20-5/24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5/27-5/31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r>
              <w:rPr>
                <w:rFonts w:ascii="Times New Roman" w:eastAsia="標楷體" w:hAnsi="Times New Roman" w:cs="Times New Roman"/>
                <w:szCs w:val="24"/>
              </w:rPr>
              <w:t>/</w:t>
            </w: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6/03-6/07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6/10-6/14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r>
              <w:rPr>
                <w:rFonts w:ascii="Times New Roman" w:eastAsia="標楷體" w:hAnsi="Times New Roman" w:cs="Times New Roman"/>
                <w:szCs w:val="24"/>
              </w:rPr>
              <w:t>/</w:t>
            </w: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6/17-6/21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6/24-6/28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p w:rsidR="005E5A3D" w:rsidRPr="00AB1E0F" w:rsidRDefault="00BE3A12" w:rsidP="00623981">
            <w:pPr>
              <w:spacing w:line="0" w:lineRule="atLeast"/>
              <w:contextualSpacing/>
              <w:mirrorIndents/>
              <w:jc w:val="both"/>
              <w:rPr>
                <w:rFonts w:ascii="標楷體" w:eastAsia="標楷體" w:hAnsi="標楷體"/>
                <w:noProof/>
                <w:szCs w:val="24"/>
              </w:rPr>
            </w:pPr>
            <w:r>
              <w:rPr>
                <w:rFonts w:ascii="Times New Roman" w:eastAsia="標楷體" w:hAnsi="Times New Roman" w:cs="Times New Roman"/>
                <w:noProof/>
                <w:szCs w:val="24"/>
              </w:rPr>
              <w:t>第四單元熱的作用與傳播</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bl>
    <w:p w:rsidR="00F513A0" w:rsidRPr="00BC450E" w:rsidRDefault="00BE3A12"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BE3A12"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BE3A12"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BE3A12"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BE3A12"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20082D"/>
    <w:sectPr w:rsidR="001E61D4" w:rsidSect="00880C6B">
      <w:headerReference w:type="default" r:id="rId6"/>
      <w:pgSz w:w="16838" w:h="11906" w:orient="landscape"/>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82D" w:rsidRDefault="0020082D">
      <w:r>
        <w:separator/>
      </w:r>
    </w:p>
  </w:endnote>
  <w:endnote w:type="continuationSeparator" w:id="0">
    <w:p w:rsidR="0020082D" w:rsidRDefault="0020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中黑體">
    <w:altName w:val="Arial Unicode MS"/>
    <w:charset w:val="88"/>
    <w:family w:val="modern"/>
    <w:pitch w:val="fixed"/>
    <w:sig w:usb0="00000000" w:usb1="2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82D" w:rsidRPr="00880C6B" w:rsidRDefault="0020082D"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p w:rsidR="0020082D" w:rsidRDefault="0020082D"/>
    <w:p w:rsidR="0020082D" w:rsidRDefault="0020082D">
      <w:r>
        <w:separator/>
      </w:r>
    </w:p>
  </w:footnote>
  <w:footnote w:type="continuationSeparator" w:id="0">
    <w:p w:rsidR="0020082D" w:rsidRDefault="00200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C6B" w:rsidRPr="00880C6B" w:rsidRDefault="00BE3A12"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3E"/>
    <w:rsid w:val="000730DF"/>
    <w:rsid w:val="001F45B3"/>
    <w:rsid w:val="0020082D"/>
    <w:rsid w:val="00203EDA"/>
    <w:rsid w:val="00261485"/>
    <w:rsid w:val="00414108"/>
    <w:rsid w:val="008B653E"/>
    <w:rsid w:val="008E12B8"/>
    <w:rsid w:val="008E4D61"/>
    <w:rsid w:val="00A6712F"/>
    <w:rsid w:val="00A7758C"/>
    <w:rsid w:val="00BE3A12"/>
    <w:rsid w:val="00CF220B"/>
    <w:rsid w:val="00DE29D0"/>
    <w:rsid w:val="00E41E86"/>
    <w:rsid w:val="00F802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A9E0C-98D9-4EFC-AC25-2DC0D5E0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C6B"/>
    <w:pPr>
      <w:tabs>
        <w:tab w:val="center" w:pos="4153"/>
        <w:tab w:val="right" w:pos="8306"/>
      </w:tabs>
      <w:snapToGrid w:val="0"/>
    </w:pPr>
    <w:rPr>
      <w:sz w:val="20"/>
      <w:szCs w:val="20"/>
    </w:rPr>
  </w:style>
  <w:style w:type="character" w:customStyle="1" w:styleId="a4">
    <w:name w:val="頁首 字元"/>
    <w:basedOn w:val="a0"/>
    <w:link w:val="a3"/>
    <w:uiPriority w:val="99"/>
    <w:rsid w:val="00880C6B"/>
    <w:rPr>
      <w:sz w:val="20"/>
      <w:szCs w:val="20"/>
    </w:rPr>
  </w:style>
  <w:style w:type="paragraph" w:styleId="a5">
    <w:name w:val="footer"/>
    <w:basedOn w:val="a"/>
    <w:link w:val="a6"/>
    <w:uiPriority w:val="99"/>
    <w:unhideWhenUsed/>
    <w:rsid w:val="00880C6B"/>
    <w:pPr>
      <w:tabs>
        <w:tab w:val="center" w:pos="4153"/>
        <w:tab w:val="right" w:pos="8306"/>
      </w:tabs>
      <w:snapToGrid w:val="0"/>
    </w:pPr>
    <w:rPr>
      <w:sz w:val="20"/>
      <w:szCs w:val="20"/>
    </w:rPr>
  </w:style>
  <w:style w:type="character" w:customStyle="1" w:styleId="a6">
    <w:name w:val="頁尾 字元"/>
    <w:basedOn w:val="a0"/>
    <w:link w:val="a5"/>
    <w:uiPriority w:val="99"/>
    <w:rsid w:val="00880C6B"/>
    <w:rPr>
      <w:sz w:val="20"/>
      <w:szCs w:val="20"/>
    </w:rPr>
  </w:style>
  <w:style w:type="paragraph" w:customStyle="1" w:styleId="1">
    <w:name w:val="1.標題文字"/>
    <w:basedOn w:val="a"/>
    <w:rsid w:val="00880C6B"/>
    <w:pPr>
      <w:jc w:val="center"/>
    </w:pPr>
    <w:rPr>
      <w:rFonts w:ascii="華康中黑體" w:eastAsia="華康中黑體" w:hAnsi="Times New Roman" w:cs="Times New Roman"/>
      <w:sz w:val="28"/>
      <w:szCs w:val="20"/>
    </w:rPr>
  </w:style>
  <w:style w:type="table" w:styleId="a7">
    <w:name w:val="Table Grid"/>
    <w:basedOn w:val="a1"/>
    <w:uiPriority w:val="59"/>
    <w:rsid w:val="00880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4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113</Pages>
  <Words>8137</Words>
  <Characters>46383</Characters>
  <Application>Microsoft Office Word</Application>
  <DocSecurity>0</DocSecurity>
  <Lines>386</Lines>
  <Paragraphs>108</Paragraphs>
  <ScaleCrop>false</ScaleCrop>
  <Company/>
  <LinksUpToDate>false</LinksUpToDate>
  <CharactersWithSpaces>54412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美玲</dc:creator>
  <cp:lastModifiedBy>教導</cp:lastModifiedBy>
  <cp:revision>5</cp:revision>
  <dcterms:created xsi:type="dcterms:W3CDTF">2023-08-22T07:25:00Z</dcterms:created>
  <dcterms:modified xsi:type="dcterms:W3CDTF">2025-06-06T06:47:00Z</dcterms:modified>
</cp:coreProperties>
</file>